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006"/>
        <w:gridCol w:w="9046"/>
      </w:tblGrid>
      <w:tr w:rsidR="00F0207B" w14:paraId="01D8FAC0" w14:textId="77777777" w:rsidTr="00DF6DEC">
        <w:tc>
          <w:tcPr>
            <w:tcW w:w="2006" w:type="dxa"/>
          </w:tcPr>
          <w:p w14:paraId="0C0699BC" w14:textId="1A84D5CE" w:rsidR="00F0207B" w:rsidRPr="00373095" w:rsidRDefault="00F0207B">
            <w:pPr>
              <w:rPr>
                <w:b/>
                <w:bCs/>
              </w:rPr>
            </w:pPr>
            <w:r w:rsidRPr="00373095">
              <w:rPr>
                <w:b/>
                <w:bCs/>
              </w:rPr>
              <w:t>PRESENT</w:t>
            </w:r>
            <w:r w:rsidR="001073CB" w:rsidRPr="00373095">
              <w:rPr>
                <w:b/>
                <w:bCs/>
              </w:rPr>
              <w:t xml:space="preserve"> &amp; APOLOGIES</w:t>
            </w:r>
          </w:p>
        </w:tc>
        <w:tc>
          <w:tcPr>
            <w:tcW w:w="9046" w:type="dxa"/>
          </w:tcPr>
          <w:tbl>
            <w:tblPr>
              <w:tblStyle w:val="TableGrid"/>
              <w:tblW w:w="8820" w:type="dxa"/>
              <w:tblLook w:val="04A0" w:firstRow="1" w:lastRow="0" w:firstColumn="1" w:lastColumn="0" w:noHBand="0" w:noVBand="1"/>
            </w:tblPr>
            <w:tblGrid>
              <w:gridCol w:w="2549"/>
              <w:gridCol w:w="425"/>
              <w:gridCol w:w="2361"/>
              <w:gridCol w:w="359"/>
              <w:gridCol w:w="2767"/>
              <w:gridCol w:w="359"/>
            </w:tblGrid>
            <w:tr w:rsidR="001073CB" w14:paraId="4B01E2E3" w14:textId="7186B69B" w:rsidTr="00DF6DEC">
              <w:tc>
                <w:tcPr>
                  <w:tcW w:w="2549" w:type="dxa"/>
                  <w:shd w:val="clear" w:color="auto" w:fill="2F5496" w:themeFill="accent1" w:themeFillShade="BF"/>
                </w:tcPr>
                <w:p w14:paraId="04E363F0" w14:textId="28F69145" w:rsidR="00956D04" w:rsidRPr="00956D04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  <w:r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STAFF</w:t>
                  </w:r>
                  <w:r w:rsidR="001073CB"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 xml:space="preserve"> (6) Inc. Principal</w:t>
                  </w:r>
                </w:p>
              </w:tc>
              <w:tc>
                <w:tcPr>
                  <w:tcW w:w="425" w:type="dxa"/>
                </w:tcPr>
                <w:p w14:paraId="227D9B5F" w14:textId="054A204E" w:rsidR="00956D04" w:rsidRPr="00956D04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361" w:type="dxa"/>
                  <w:shd w:val="clear" w:color="auto" w:fill="2F5496" w:themeFill="accent1" w:themeFillShade="BF"/>
                </w:tcPr>
                <w:p w14:paraId="47BE534B" w14:textId="153D4FC5" w:rsidR="00956D04" w:rsidRPr="00956D04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  <w:r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PARENT</w:t>
                  </w:r>
                  <w:r w:rsidR="001073CB"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 xml:space="preserve"> (4)</w:t>
                  </w:r>
                </w:p>
              </w:tc>
              <w:tc>
                <w:tcPr>
                  <w:tcW w:w="359" w:type="dxa"/>
                </w:tcPr>
                <w:p w14:paraId="6B8E3E88" w14:textId="46F44D3A" w:rsidR="00956D04" w:rsidRPr="00956D04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767" w:type="dxa"/>
                  <w:shd w:val="clear" w:color="auto" w:fill="2F5496" w:themeFill="accent1" w:themeFillShade="BF"/>
                </w:tcPr>
                <w:p w14:paraId="5BE8B0DF" w14:textId="72914409" w:rsidR="00956D04" w:rsidRPr="00956D04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  <w:r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COMMUNITY</w:t>
                  </w:r>
                  <w:r w:rsidR="0060068D">
                    <w:rPr>
                      <w:b/>
                      <w:bCs/>
                      <w:i/>
                      <w:iCs/>
                      <w:color w:val="FFFFFF" w:themeColor="background1"/>
                    </w:rPr>
                    <w:t xml:space="preserve"> (2</w:t>
                  </w:r>
                  <w:bookmarkStart w:id="0" w:name="_GoBack"/>
                  <w:bookmarkEnd w:id="0"/>
                  <w:r w:rsidR="001073CB"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)</w:t>
                  </w:r>
                </w:p>
              </w:tc>
              <w:tc>
                <w:tcPr>
                  <w:tcW w:w="359" w:type="dxa"/>
                </w:tcPr>
                <w:p w14:paraId="58185031" w14:textId="29E0768D" w:rsidR="00956D04" w:rsidRPr="001073CB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1073CB" w14:paraId="6B137952" w14:textId="37C9599E" w:rsidTr="001073CB">
              <w:tc>
                <w:tcPr>
                  <w:tcW w:w="2549" w:type="dxa"/>
                </w:tcPr>
                <w:p w14:paraId="226A057E" w14:textId="094FE747" w:rsidR="00956D04" w:rsidRDefault="00956D04" w:rsidP="00F0207B">
                  <w:r>
                    <w:t xml:space="preserve">Damian </w:t>
                  </w:r>
                  <w:proofErr w:type="spellStart"/>
                  <w:r>
                    <w:t>Shuttleworth</w:t>
                  </w:r>
                  <w:proofErr w:type="spellEnd"/>
                  <w:r>
                    <w:t xml:space="preserve"> (P)</w:t>
                  </w:r>
                </w:p>
              </w:tc>
              <w:tc>
                <w:tcPr>
                  <w:tcW w:w="425" w:type="dxa"/>
                </w:tcPr>
                <w:p w14:paraId="5861833F" w14:textId="0A5DC7BA" w:rsidR="00956D04" w:rsidRDefault="00956D04" w:rsidP="00F0207B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2FF4E4E0" w14:textId="4A16E65A" w:rsidR="00956D04" w:rsidRDefault="00956D04" w:rsidP="00F0207B">
                  <w:r>
                    <w:t>Sean Somerville</w:t>
                  </w:r>
                </w:p>
              </w:tc>
              <w:tc>
                <w:tcPr>
                  <w:tcW w:w="359" w:type="dxa"/>
                </w:tcPr>
                <w:p w14:paraId="60FD28CF" w14:textId="73AE3D8A" w:rsidR="00956D04" w:rsidRDefault="001073CB" w:rsidP="00F0207B">
                  <w:r>
                    <w:t>Y</w:t>
                  </w:r>
                </w:p>
              </w:tc>
              <w:tc>
                <w:tcPr>
                  <w:tcW w:w="2767" w:type="dxa"/>
                </w:tcPr>
                <w:p w14:paraId="1EB04A1C" w14:textId="344C05EB" w:rsidR="00956D04" w:rsidRDefault="00956D04" w:rsidP="00F0207B">
                  <w:r>
                    <w:t>Heather Csar</w:t>
                  </w:r>
                </w:p>
              </w:tc>
              <w:tc>
                <w:tcPr>
                  <w:tcW w:w="359" w:type="dxa"/>
                </w:tcPr>
                <w:p w14:paraId="427FD8DE" w14:textId="5820889B" w:rsidR="00956D04" w:rsidRDefault="001073CB" w:rsidP="00F0207B">
                  <w:r>
                    <w:t>N</w:t>
                  </w:r>
                </w:p>
              </w:tc>
            </w:tr>
            <w:tr w:rsidR="001073CB" w14:paraId="58DA16D7" w14:textId="3DAF87A7" w:rsidTr="001073CB">
              <w:tc>
                <w:tcPr>
                  <w:tcW w:w="2549" w:type="dxa"/>
                </w:tcPr>
                <w:p w14:paraId="65221CBF" w14:textId="04C05B4D" w:rsidR="00956D04" w:rsidRDefault="00956D04" w:rsidP="00F0207B">
                  <w:r w:rsidRPr="00F0207B">
                    <w:t>Sue Somerville</w:t>
                  </w:r>
                </w:p>
              </w:tc>
              <w:tc>
                <w:tcPr>
                  <w:tcW w:w="425" w:type="dxa"/>
                </w:tcPr>
                <w:p w14:paraId="68B5C332" w14:textId="4AC3EB15" w:rsidR="00956D04" w:rsidRDefault="00956D04" w:rsidP="00F0207B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200E4004" w14:textId="645E4A5A" w:rsidR="00956D04" w:rsidRDefault="00956D04" w:rsidP="00F0207B">
                  <w:r>
                    <w:t>Adrian Armstrong</w:t>
                  </w:r>
                </w:p>
              </w:tc>
              <w:tc>
                <w:tcPr>
                  <w:tcW w:w="359" w:type="dxa"/>
                </w:tcPr>
                <w:p w14:paraId="5DBA8DAD" w14:textId="73257C72" w:rsidR="00956D04" w:rsidRDefault="001073CB" w:rsidP="00F0207B">
                  <w:r>
                    <w:t>N</w:t>
                  </w:r>
                </w:p>
              </w:tc>
              <w:tc>
                <w:tcPr>
                  <w:tcW w:w="2767" w:type="dxa"/>
                </w:tcPr>
                <w:p w14:paraId="67CBB78B" w14:textId="282D1E15" w:rsidR="00956D04" w:rsidRDefault="00B61994" w:rsidP="00F0207B">
                  <w:r>
                    <w:t>Colleen Fisher</w:t>
                  </w:r>
                </w:p>
              </w:tc>
              <w:tc>
                <w:tcPr>
                  <w:tcW w:w="359" w:type="dxa"/>
                </w:tcPr>
                <w:p w14:paraId="11F3E4B1" w14:textId="766E34FE" w:rsidR="00956D04" w:rsidRDefault="001073CB" w:rsidP="00F0207B">
                  <w:r>
                    <w:t>N</w:t>
                  </w:r>
                </w:p>
              </w:tc>
            </w:tr>
            <w:tr w:rsidR="001073CB" w14:paraId="1401AD09" w14:textId="549917AB" w:rsidTr="001073CB">
              <w:tc>
                <w:tcPr>
                  <w:tcW w:w="2549" w:type="dxa"/>
                </w:tcPr>
                <w:p w14:paraId="41AB0CA6" w14:textId="6B9CB9B6" w:rsidR="00956D04" w:rsidRDefault="00956D04" w:rsidP="00F0207B">
                  <w:r w:rsidRPr="00F0207B">
                    <w:t>James Lorimer</w:t>
                  </w:r>
                </w:p>
              </w:tc>
              <w:tc>
                <w:tcPr>
                  <w:tcW w:w="425" w:type="dxa"/>
                </w:tcPr>
                <w:p w14:paraId="5A110E46" w14:textId="591E6D87" w:rsidR="00956D04" w:rsidRDefault="00956D04" w:rsidP="00F0207B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5B5D88B1" w14:textId="78285788" w:rsidR="00956D04" w:rsidRDefault="00956D04" w:rsidP="00F0207B">
                  <w:r>
                    <w:t>Tim Sercombe</w:t>
                  </w:r>
                  <w:r w:rsidR="001073CB">
                    <w:t xml:space="preserve"> (Chair)</w:t>
                  </w:r>
                </w:p>
              </w:tc>
              <w:tc>
                <w:tcPr>
                  <w:tcW w:w="359" w:type="dxa"/>
                </w:tcPr>
                <w:p w14:paraId="2E51D268" w14:textId="3666D919" w:rsidR="00956D04" w:rsidRDefault="001073CB" w:rsidP="00F0207B">
                  <w:r>
                    <w:t>Y</w:t>
                  </w:r>
                </w:p>
              </w:tc>
              <w:tc>
                <w:tcPr>
                  <w:tcW w:w="2767" w:type="dxa"/>
                </w:tcPr>
                <w:p w14:paraId="66F4FA5B" w14:textId="0DE19ABE" w:rsidR="00956D04" w:rsidRDefault="00956D04" w:rsidP="00F0207B"/>
              </w:tc>
              <w:tc>
                <w:tcPr>
                  <w:tcW w:w="359" w:type="dxa"/>
                </w:tcPr>
                <w:p w14:paraId="102DCBE6" w14:textId="4B0985D6" w:rsidR="00956D04" w:rsidRDefault="00956D04" w:rsidP="00F0207B"/>
              </w:tc>
            </w:tr>
            <w:tr w:rsidR="001073CB" w14:paraId="2D3BA8EC" w14:textId="47F3E2B0" w:rsidTr="001073CB">
              <w:tc>
                <w:tcPr>
                  <w:tcW w:w="2549" w:type="dxa"/>
                </w:tcPr>
                <w:p w14:paraId="1F57F02A" w14:textId="1ECF1B7A" w:rsidR="00956D04" w:rsidRDefault="00956D04" w:rsidP="00F0207B">
                  <w:r>
                    <w:t>Marcia Shaw</w:t>
                  </w:r>
                </w:p>
              </w:tc>
              <w:tc>
                <w:tcPr>
                  <w:tcW w:w="425" w:type="dxa"/>
                </w:tcPr>
                <w:p w14:paraId="0BA53016" w14:textId="76363583" w:rsidR="00956D04" w:rsidRDefault="007D3082" w:rsidP="00F0207B">
                  <w:r>
                    <w:t>N</w:t>
                  </w:r>
                </w:p>
              </w:tc>
              <w:tc>
                <w:tcPr>
                  <w:tcW w:w="2361" w:type="dxa"/>
                </w:tcPr>
                <w:p w14:paraId="5B3271A4" w14:textId="2DCE0B8E" w:rsidR="00956D04" w:rsidRDefault="00956D04" w:rsidP="00F0207B"/>
              </w:tc>
              <w:tc>
                <w:tcPr>
                  <w:tcW w:w="359" w:type="dxa"/>
                </w:tcPr>
                <w:p w14:paraId="393E7C84" w14:textId="77777777" w:rsidR="00956D04" w:rsidRDefault="00956D04" w:rsidP="00F0207B"/>
              </w:tc>
              <w:tc>
                <w:tcPr>
                  <w:tcW w:w="2767" w:type="dxa"/>
                </w:tcPr>
                <w:p w14:paraId="1F98ABC2" w14:textId="01FCDC3A" w:rsidR="00956D04" w:rsidRDefault="00956D04" w:rsidP="00F0207B"/>
              </w:tc>
              <w:tc>
                <w:tcPr>
                  <w:tcW w:w="359" w:type="dxa"/>
                </w:tcPr>
                <w:p w14:paraId="724C5340" w14:textId="322FB8A3" w:rsidR="00956D04" w:rsidRDefault="00956D04" w:rsidP="00F0207B"/>
              </w:tc>
            </w:tr>
            <w:tr w:rsidR="001073CB" w14:paraId="5A3FF105" w14:textId="7522ABDE" w:rsidTr="00DF6DEC">
              <w:tc>
                <w:tcPr>
                  <w:tcW w:w="2549" w:type="dxa"/>
                </w:tcPr>
                <w:p w14:paraId="64CC3ED2" w14:textId="779C23C7" w:rsidR="00956D04" w:rsidRDefault="00A528A9" w:rsidP="00F0207B">
                  <w:r>
                    <w:t xml:space="preserve">Philip Borger </w:t>
                  </w:r>
                </w:p>
              </w:tc>
              <w:tc>
                <w:tcPr>
                  <w:tcW w:w="425" w:type="dxa"/>
                </w:tcPr>
                <w:p w14:paraId="0A92FD5F" w14:textId="7E7BD5FC" w:rsidR="00956D04" w:rsidRDefault="001073CB" w:rsidP="00F0207B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440EDB63" w14:textId="77777777" w:rsidR="00956D04" w:rsidRDefault="00956D04" w:rsidP="00F0207B"/>
              </w:tc>
              <w:tc>
                <w:tcPr>
                  <w:tcW w:w="359" w:type="dxa"/>
                </w:tcPr>
                <w:p w14:paraId="09032F72" w14:textId="77777777" w:rsidR="00956D04" w:rsidRDefault="00956D04" w:rsidP="00F0207B"/>
              </w:tc>
              <w:tc>
                <w:tcPr>
                  <w:tcW w:w="2767" w:type="dxa"/>
                  <w:shd w:val="clear" w:color="auto" w:fill="2F5496" w:themeFill="accent1" w:themeFillShade="BF"/>
                </w:tcPr>
                <w:p w14:paraId="481226CB" w14:textId="7862358A" w:rsidR="00956D04" w:rsidRPr="001073CB" w:rsidRDefault="001073CB" w:rsidP="00F0207B">
                  <w:pPr>
                    <w:rPr>
                      <w:b/>
                      <w:bCs/>
                      <w:i/>
                      <w:iCs/>
                    </w:rPr>
                  </w:pPr>
                  <w:r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STUDENT</w:t>
                  </w:r>
                  <w:r w:rsid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 xml:space="preserve"> PREFECTS</w:t>
                  </w:r>
                  <w:r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 xml:space="preserve"> (2)</w:t>
                  </w:r>
                </w:p>
              </w:tc>
              <w:tc>
                <w:tcPr>
                  <w:tcW w:w="359" w:type="dxa"/>
                </w:tcPr>
                <w:p w14:paraId="4E2859F6" w14:textId="77777777" w:rsidR="00956D04" w:rsidRDefault="00956D04" w:rsidP="00F0207B"/>
              </w:tc>
            </w:tr>
            <w:tr w:rsidR="001073CB" w14:paraId="285DEC2A" w14:textId="77777777" w:rsidTr="001073CB">
              <w:tc>
                <w:tcPr>
                  <w:tcW w:w="2549" w:type="dxa"/>
                </w:tcPr>
                <w:p w14:paraId="437AA5BA" w14:textId="726893F1" w:rsidR="00A528A9" w:rsidRDefault="00A528A9" w:rsidP="00F0207B">
                  <w:r>
                    <w:t xml:space="preserve">Tina </w:t>
                  </w:r>
                  <w:proofErr w:type="spellStart"/>
                  <w:r>
                    <w:t>Magatelli</w:t>
                  </w:r>
                  <w:proofErr w:type="spellEnd"/>
                </w:p>
              </w:tc>
              <w:tc>
                <w:tcPr>
                  <w:tcW w:w="425" w:type="dxa"/>
                </w:tcPr>
                <w:p w14:paraId="5334973A" w14:textId="6FCD1250" w:rsidR="00A528A9" w:rsidRDefault="001073CB" w:rsidP="00F0207B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239A70ED" w14:textId="77777777" w:rsidR="00A528A9" w:rsidRDefault="00A528A9" w:rsidP="00F0207B"/>
              </w:tc>
              <w:tc>
                <w:tcPr>
                  <w:tcW w:w="359" w:type="dxa"/>
                </w:tcPr>
                <w:p w14:paraId="76EAFA4D" w14:textId="77777777" w:rsidR="00A528A9" w:rsidRDefault="00A528A9" w:rsidP="00F0207B"/>
              </w:tc>
              <w:tc>
                <w:tcPr>
                  <w:tcW w:w="2767" w:type="dxa"/>
                </w:tcPr>
                <w:p w14:paraId="2F9163BE" w14:textId="0E09FCAF" w:rsidR="00A528A9" w:rsidRDefault="00B61994" w:rsidP="00F0207B">
                  <w:r>
                    <w:t>Monique Formilan</w:t>
                  </w:r>
                </w:p>
              </w:tc>
              <w:tc>
                <w:tcPr>
                  <w:tcW w:w="359" w:type="dxa"/>
                </w:tcPr>
                <w:p w14:paraId="77AC4EF4" w14:textId="0973CF00" w:rsidR="00A528A9" w:rsidRDefault="00DF6DEC" w:rsidP="00F0207B">
                  <w:r>
                    <w:t>N</w:t>
                  </w:r>
                </w:p>
              </w:tc>
            </w:tr>
            <w:tr w:rsidR="001073CB" w14:paraId="034ACF84" w14:textId="77777777" w:rsidTr="001073CB">
              <w:tc>
                <w:tcPr>
                  <w:tcW w:w="2549" w:type="dxa"/>
                </w:tcPr>
                <w:p w14:paraId="2FCF5315" w14:textId="4D0F7492" w:rsidR="001073CB" w:rsidRDefault="001073CB" w:rsidP="00F0207B">
                  <w:r>
                    <w:t>John Hackett</w:t>
                  </w:r>
                </w:p>
              </w:tc>
              <w:tc>
                <w:tcPr>
                  <w:tcW w:w="425" w:type="dxa"/>
                </w:tcPr>
                <w:p w14:paraId="3FB31D54" w14:textId="22A37438" w:rsidR="001073CB" w:rsidRDefault="001073CB" w:rsidP="00F0207B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5578EB0B" w14:textId="77777777" w:rsidR="001073CB" w:rsidRDefault="001073CB" w:rsidP="00F0207B"/>
              </w:tc>
              <w:tc>
                <w:tcPr>
                  <w:tcW w:w="359" w:type="dxa"/>
                </w:tcPr>
                <w:p w14:paraId="1ADDE26F" w14:textId="77777777" w:rsidR="001073CB" w:rsidRDefault="001073CB" w:rsidP="00F0207B"/>
              </w:tc>
              <w:tc>
                <w:tcPr>
                  <w:tcW w:w="2767" w:type="dxa"/>
                </w:tcPr>
                <w:p w14:paraId="4D448335" w14:textId="1961F0D5" w:rsidR="001073CB" w:rsidRDefault="00B61994" w:rsidP="00F0207B">
                  <w:r>
                    <w:t>Oliver Price</w:t>
                  </w:r>
                </w:p>
              </w:tc>
              <w:tc>
                <w:tcPr>
                  <w:tcW w:w="359" w:type="dxa"/>
                </w:tcPr>
                <w:p w14:paraId="586A5BA6" w14:textId="3AD8F35D" w:rsidR="001073CB" w:rsidRDefault="00DF6DEC" w:rsidP="00F0207B">
                  <w:r>
                    <w:t>N</w:t>
                  </w:r>
                </w:p>
              </w:tc>
            </w:tr>
          </w:tbl>
          <w:p w14:paraId="744478BE" w14:textId="09C995C1" w:rsidR="00F0207B" w:rsidRDefault="00F0207B" w:rsidP="001073CB"/>
        </w:tc>
      </w:tr>
      <w:tr w:rsidR="00F0207B" w14:paraId="708665DE" w14:textId="77777777" w:rsidTr="00DF6DEC">
        <w:tc>
          <w:tcPr>
            <w:tcW w:w="2006" w:type="dxa"/>
          </w:tcPr>
          <w:p w14:paraId="7C18569D" w14:textId="4800BA1D" w:rsidR="00F0207B" w:rsidRPr="00373095" w:rsidRDefault="00373095" w:rsidP="00373095">
            <w:pPr>
              <w:spacing w:before="120" w:after="120"/>
              <w:rPr>
                <w:b/>
                <w:bCs/>
              </w:rPr>
            </w:pPr>
            <w:r w:rsidRPr="00373095">
              <w:rPr>
                <w:b/>
                <w:bCs/>
              </w:rPr>
              <w:t>MINUTES PREPARED</w:t>
            </w:r>
          </w:p>
        </w:tc>
        <w:tc>
          <w:tcPr>
            <w:tcW w:w="9046" w:type="dxa"/>
          </w:tcPr>
          <w:p w14:paraId="4CBFAE16" w14:textId="0CDECE32" w:rsidR="00F0207B" w:rsidRDefault="001073CB" w:rsidP="00373095">
            <w:pPr>
              <w:spacing w:before="120" w:after="120"/>
            </w:pPr>
            <w:r>
              <w:t>Felicity Hampson</w:t>
            </w:r>
          </w:p>
        </w:tc>
      </w:tr>
      <w:tr w:rsidR="00F0207B" w14:paraId="670C6A01" w14:textId="77777777" w:rsidTr="00DF6DEC">
        <w:tc>
          <w:tcPr>
            <w:tcW w:w="2006" w:type="dxa"/>
          </w:tcPr>
          <w:p w14:paraId="6EFEFAB8" w14:textId="439032E8" w:rsidR="00F0207B" w:rsidRPr="00373095" w:rsidRDefault="00DF6DEC" w:rsidP="0037309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QUORUM</w:t>
            </w:r>
          </w:p>
        </w:tc>
        <w:tc>
          <w:tcPr>
            <w:tcW w:w="9046" w:type="dxa"/>
          </w:tcPr>
          <w:p w14:paraId="46E55576" w14:textId="2086E059" w:rsidR="00F0207B" w:rsidRDefault="00DF6DEC" w:rsidP="00373095">
            <w:pPr>
              <w:spacing w:before="120" w:after="120"/>
            </w:pPr>
            <w:r>
              <w:t xml:space="preserve">A quorum of members </w:t>
            </w:r>
            <w:r w:rsidR="00B22DAA">
              <w:t>was</w:t>
            </w:r>
            <w:r>
              <w:t xml:space="preserve"> present however an absolute quorum was not present for voting</w:t>
            </w:r>
            <w:r w:rsidR="00B22DAA">
              <w:t xml:space="preserve"> as per 10.1</w:t>
            </w:r>
            <w:r w:rsidR="00865AB5">
              <w:t xml:space="preserve"> of the constitution</w:t>
            </w:r>
            <w:r>
              <w:t>.</w:t>
            </w:r>
          </w:p>
        </w:tc>
      </w:tr>
      <w:tr w:rsidR="00DF6DEC" w14:paraId="670BDFDB" w14:textId="77777777" w:rsidTr="00DF6DEC">
        <w:tc>
          <w:tcPr>
            <w:tcW w:w="2006" w:type="dxa"/>
          </w:tcPr>
          <w:p w14:paraId="564CEEDC" w14:textId="73D9BE86" w:rsidR="00DF6DEC" w:rsidRPr="00373095" w:rsidRDefault="00DF6DEC" w:rsidP="00DF6DEC">
            <w:pPr>
              <w:spacing w:before="120" w:after="120"/>
              <w:rPr>
                <w:b/>
                <w:bCs/>
              </w:rPr>
            </w:pPr>
            <w:r w:rsidRPr="00373095">
              <w:rPr>
                <w:b/>
                <w:bCs/>
              </w:rPr>
              <w:t>START TIME</w:t>
            </w:r>
          </w:p>
        </w:tc>
        <w:tc>
          <w:tcPr>
            <w:tcW w:w="9046" w:type="dxa"/>
          </w:tcPr>
          <w:p w14:paraId="607441C4" w14:textId="5600B86F" w:rsidR="00DF6DEC" w:rsidRDefault="00DF6DEC" w:rsidP="00DF6DEC">
            <w:pPr>
              <w:spacing w:before="120" w:after="120"/>
            </w:pPr>
            <w:r>
              <w:t>8:05am</w:t>
            </w:r>
          </w:p>
        </w:tc>
      </w:tr>
      <w:tr w:rsidR="00DF6DEC" w14:paraId="3560F4F3" w14:textId="77777777" w:rsidTr="00DF6DEC">
        <w:tc>
          <w:tcPr>
            <w:tcW w:w="2006" w:type="dxa"/>
          </w:tcPr>
          <w:p w14:paraId="624B95E8" w14:textId="2191309F" w:rsidR="00DF6DEC" w:rsidRPr="00373095" w:rsidRDefault="00DF6DEC" w:rsidP="00DF6DEC">
            <w:pPr>
              <w:spacing w:before="120" w:after="120"/>
              <w:rPr>
                <w:b/>
                <w:bCs/>
              </w:rPr>
            </w:pPr>
            <w:r w:rsidRPr="00373095">
              <w:rPr>
                <w:b/>
                <w:bCs/>
              </w:rPr>
              <w:t xml:space="preserve">MATTERS ARISING </w:t>
            </w:r>
          </w:p>
        </w:tc>
        <w:tc>
          <w:tcPr>
            <w:tcW w:w="9046" w:type="dxa"/>
          </w:tcPr>
          <w:p w14:paraId="08C2D48E" w14:textId="0B9880CC" w:rsidR="00DF6DEC" w:rsidRDefault="00DF6DEC" w:rsidP="00DF6DEC">
            <w:pPr>
              <w:spacing w:before="120" w:after="120"/>
            </w:pPr>
            <w:r>
              <w:t>None</w:t>
            </w:r>
          </w:p>
        </w:tc>
      </w:tr>
      <w:tr w:rsidR="00DF6DEC" w14:paraId="65486B8A" w14:textId="77777777" w:rsidTr="00DF6DEC">
        <w:tc>
          <w:tcPr>
            <w:tcW w:w="2006" w:type="dxa"/>
          </w:tcPr>
          <w:p w14:paraId="63A1CBF1" w14:textId="26465E6A" w:rsidR="00DF6DEC" w:rsidRPr="00373095" w:rsidRDefault="00DF6DEC" w:rsidP="00DF6DEC">
            <w:pPr>
              <w:spacing w:before="120" w:after="120"/>
              <w:rPr>
                <w:b/>
                <w:bCs/>
              </w:rPr>
            </w:pPr>
            <w:r w:rsidRPr="00373095">
              <w:rPr>
                <w:b/>
                <w:bCs/>
              </w:rPr>
              <w:t>PREVIOUS MINUTES</w:t>
            </w:r>
          </w:p>
        </w:tc>
        <w:tc>
          <w:tcPr>
            <w:tcW w:w="9046" w:type="dxa"/>
          </w:tcPr>
          <w:p w14:paraId="5119C932" w14:textId="7491BF97" w:rsidR="00DF6DEC" w:rsidRDefault="00DF6DEC" w:rsidP="00DF6DEC">
            <w:pPr>
              <w:spacing w:before="120" w:after="120"/>
            </w:pPr>
            <w:r>
              <w:t>Adopted by the board as correct and signed by the Chairperson</w:t>
            </w:r>
          </w:p>
        </w:tc>
      </w:tr>
      <w:tr w:rsidR="00DF6DEC" w14:paraId="0CE79BF6" w14:textId="77777777" w:rsidTr="00DF6DEC">
        <w:tc>
          <w:tcPr>
            <w:tcW w:w="2006" w:type="dxa"/>
          </w:tcPr>
          <w:p w14:paraId="65C780C4" w14:textId="77777777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PRINCIPAL’S REPORT</w:t>
            </w:r>
          </w:p>
          <w:p w14:paraId="7199E5AE" w14:textId="77777777" w:rsidR="00DF6DEC" w:rsidRPr="00542855" w:rsidRDefault="00DF6DEC" w:rsidP="00DF6DEC"/>
          <w:p w14:paraId="711A5BD6" w14:textId="77777777" w:rsidR="00DF6DEC" w:rsidRPr="00542855" w:rsidRDefault="00DF6DEC" w:rsidP="00DF6DEC"/>
          <w:p w14:paraId="5224DF2D" w14:textId="77777777" w:rsidR="00DF6DEC" w:rsidRPr="00542855" w:rsidRDefault="00DF6DEC" w:rsidP="00DF6DEC"/>
          <w:p w14:paraId="7374E54E" w14:textId="77777777" w:rsidR="00DF6DEC" w:rsidRPr="00542855" w:rsidRDefault="00DF6DEC" w:rsidP="00DF6DEC"/>
          <w:p w14:paraId="685DA78E" w14:textId="77777777" w:rsidR="00DF6DEC" w:rsidRPr="00542855" w:rsidRDefault="00DF6DEC" w:rsidP="00DF6DEC"/>
          <w:p w14:paraId="39CB7A46" w14:textId="77777777" w:rsidR="00DF6DEC" w:rsidRPr="00542855" w:rsidRDefault="00DF6DEC" w:rsidP="00DF6DEC"/>
          <w:p w14:paraId="08F491E1" w14:textId="77777777" w:rsidR="00DF6DEC" w:rsidRPr="00542855" w:rsidRDefault="00DF6DEC" w:rsidP="00DF6DEC"/>
          <w:p w14:paraId="27596B76" w14:textId="77777777" w:rsidR="00DF6DEC" w:rsidRPr="00542855" w:rsidRDefault="00DF6DEC" w:rsidP="00DF6DEC"/>
          <w:p w14:paraId="392AF8E1" w14:textId="77777777" w:rsidR="00DF6DEC" w:rsidRPr="00542855" w:rsidRDefault="00DF6DEC" w:rsidP="00DF6DEC"/>
          <w:p w14:paraId="063ABD88" w14:textId="77777777" w:rsidR="00DF6DEC" w:rsidRPr="00542855" w:rsidRDefault="00DF6DEC" w:rsidP="00DF6DEC"/>
          <w:p w14:paraId="22D56428" w14:textId="77777777" w:rsidR="00DF6DEC" w:rsidRPr="00542855" w:rsidRDefault="00DF6DEC" w:rsidP="00DF6DEC"/>
          <w:p w14:paraId="3A2CEF2C" w14:textId="77777777" w:rsidR="00DF6DEC" w:rsidRPr="00542855" w:rsidRDefault="00DF6DEC" w:rsidP="00DF6DEC"/>
          <w:p w14:paraId="7D13B776" w14:textId="77777777" w:rsidR="00DF6DEC" w:rsidRPr="00542855" w:rsidRDefault="00DF6DEC" w:rsidP="00DF6DEC"/>
          <w:p w14:paraId="4E1E0DC9" w14:textId="77777777" w:rsidR="00DF6DEC" w:rsidRPr="00542855" w:rsidRDefault="00DF6DEC" w:rsidP="00DF6DEC"/>
          <w:p w14:paraId="151B3BF5" w14:textId="77777777" w:rsidR="00DF6DEC" w:rsidRPr="00542855" w:rsidRDefault="00DF6DEC" w:rsidP="00DF6DEC"/>
          <w:p w14:paraId="02F01EAC" w14:textId="77777777" w:rsidR="00DF6DEC" w:rsidRPr="00542855" w:rsidRDefault="00DF6DEC" w:rsidP="00DF6DEC"/>
          <w:p w14:paraId="23370468" w14:textId="77777777" w:rsidR="00DF6DEC" w:rsidRPr="00542855" w:rsidRDefault="00DF6DEC" w:rsidP="00DF6DEC"/>
          <w:p w14:paraId="6C3046E8" w14:textId="77777777" w:rsidR="00DF6DEC" w:rsidRDefault="00DF6DEC" w:rsidP="00DF6DEC">
            <w:pPr>
              <w:rPr>
                <w:b/>
                <w:bCs/>
              </w:rPr>
            </w:pPr>
          </w:p>
          <w:p w14:paraId="605D8548" w14:textId="77777777" w:rsidR="00DF6DEC" w:rsidRPr="00542855" w:rsidRDefault="00DF6DEC" w:rsidP="00DF6DEC"/>
          <w:p w14:paraId="64FE47C8" w14:textId="77777777" w:rsidR="00DF6DEC" w:rsidRPr="00542855" w:rsidRDefault="00DF6DEC" w:rsidP="00DF6DEC"/>
          <w:p w14:paraId="553E138C" w14:textId="77777777" w:rsidR="00DF6DEC" w:rsidRPr="00542855" w:rsidRDefault="00DF6DEC" w:rsidP="00DF6DEC"/>
          <w:p w14:paraId="6C797F01" w14:textId="77777777" w:rsidR="00DF6DEC" w:rsidRPr="00542855" w:rsidRDefault="00DF6DEC" w:rsidP="00DF6DEC"/>
          <w:p w14:paraId="008FDE9E" w14:textId="77777777" w:rsidR="00DF6DEC" w:rsidRPr="00542855" w:rsidRDefault="00DF6DEC" w:rsidP="00DF6DEC"/>
          <w:p w14:paraId="283B68A5" w14:textId="77777777" w:rsidR="00DF6DEC" w:rsidRPr="00542855" w:rsidRDefault="00DF6DEC" w:rsidP="00DF6DEC"/>
          <w:p w14:paraId="1211F74E" w14:textId="77777777" w:rsidR="00DF6DEC" w:rsidRDefault="00DF6DEC" w:rsidP="00DF6DEC">
            <w:pPr>
              <w:rPr>
                <w:b/>
                <w:bCs/>
              </w:rPr>
            </w:pPr>
          </w:p>
          <w:p w14:paraId="5213E66C" w14:textId="77777777" w:rsidR="00DF6DEC" w:rsidRPr="00542855" w:rsidRDefault="00DF6DEC" w:rsidP="00DF6DEC"/>
          <w:p w14:paraId="01E953DC" w14:textId="77777777" w:rsidR="00DF6DEC" w:rsidRPr="00542855" w:rsidRDefault="00DF6DEC" w:rsidP="00DF6DEC"/>
          <w:p w14:paraId="731DF2C0" w14:textId="77777777" w:rsidR="00DF6DEC" w:rsidRDefault="00DF6DEC" w:rsidP="00DF6DEC">
            <w:pPr>
              <w:rPr>
                <w:b/>
                <w:bCs/>
              </w:rPr>
            </w:pPr>
          </w:p>
          <w:p w14:paraId="36CF0C26" w14:textId="77777777" w:rsidR="00DF6DEC" w:rsidRDefault="00DF6DEC" w:rsidP="00DF6DEC">
            <w:pPr>
              <w:rPr>
                <w:b/>
                <w:bCs/>
              </w:rPr>
            </w:pPr>
          </w:p>
          <w:p w14:paraId="265267F3" w14:textId="5EF6A2C3" w:rsidR="00DF6DEC" w:rsidRPr="00542855" w:rsidRDefault="00DF6DEC" w:rsidP="00DF6DEC">
            <w:pPr>
              <w:ind w:firstLine="720"/>
            </w:pPr>
          </w:p>
        </w:tc>
        <w:tc>
          <w:tcPr>
            <w:tcW w:w="9046" w:type="dxa"/>
          </w:tcPr>
          <w:p w14:paraId="0FF6BAF8" w14:textId="6893AA3E" w:rsidR="00DF6DEC" w:rsidRDefault="00DF6DEC" w:rsidP="00DF6DEC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lastRenderedPageBreak/>
              <w:t>2021 Student Numbers as of the date of the meeting;</w:t>
            </w:r>
          </w:p>
          <w:tbl>
            <w:tblPr>
              <w:tblStyle w:val="TableGrid"/>
              <w:tblpPr w:leftFromText="180" w:rightFromText="180" w:vertAnchor="text" w:horzAnchor="page" w:tblpX="841" w:tblpY="-1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85"/>
              <w:gridCol w:w="663"/>
              <w:gridCol w:w="1828"/>
              <w:gridCol w:w="783"/>
            </w:tblGrid>
            <w:tr w:rsidR="00DF6DEC" w14:paraId="397A261B" w14:textId="77777777" w:rsidTr="00373095">
              <w:tc>
                <w:tcPr>
                  <w:tcW w:w="1685" w:type="dxa"/>
                </w:tcPr>
                <w:p w14:paraId="09680719" w14:textId="77777777" w:rsidR="00DF6DEC" w:rsidRDefault="00DF6DEC" w:rsidP="00DF6DEC">
                  <w:r>
                    <w:t>Year 7</w:t>
                  </w:r>
                </w:p>
              </w:tc>
              <w:tc>
                <w:tcPr>
                  <w:tcW w:w="663" w:type="dxa"/>
                </w:tcPr>
                <w:p w14:paraId="76E50EDD" w14:textId="77777777" w:rsidR="00DF6DEC" w:rsidRDefault="00DF6DEC" w:rsidP="00DF6DEC">
                  <w:pPr>
                    <w:jc w:val="right"/>
                  </w:pPr>
                  <w:r>
                    <w:t>428</w:t>
                  </w:r>
                </w:p>
              </w:tc>
              <w:tc>
                <w:tcPr>
                  <w:tcW w:w="1828" w:type="dxa"/>
                </w:tcPr>
                <w:p w14:paraId="4C782ABF" w14:textId="77777777" w:rsidR="00DF6DEC" w:rsidRDefault="00DF6DEC" w:rsidP="00DF6DEC">
                  <w:r>
                    <w:t>Year 8</w:t>
                  </w:r>
                </w:p>
              </w:tc>
              <w:tc>
                <w:tcPr>
                  <w:tcW w:w="783" w:type="dxa"/>
                </w:tcPr>
                <w:p w14:paraId="390CC1F8" w14:textId="77777777" w:rsidR="00DF6DEC" w:rsidRDefault="00DF6DEC" w:rsidP="00DF6DEC">
                  <w:pPr>
                    <w:jc w:val="right"/>
                  </w:pPr>
                  <w:r>
                    <w:t>442</w:t>
                  </w:r>
                </w:p>
              </w:tc>
            </w:tr>
            <w:tr w:rsidR="00DF6DEC" w14:paraId="589DFECF" w14:textId="77777777" w:rsidTr="00373095">
              <w:tc>
                <w:tcPr>
                  <w:tcW w:w="1685" w:type="dxa"/>
                </w:tcPr>
                <w:p w14:paraId="1E149993" w14:textId="77777777" w:rsidR="00DF6DEC" w:rsidRDefault="00DF6DEC" w:rsidP="00DF6DEC">
                  <w:r>
                    <w:t>Year 9</w:t>
                  </w:r>
                </w:p>
              </w:tc>
              <w:tc>
                <w:tcPr>
                  <w:tcW w:w="663" w:type="dxa"/>
                </w:tcPr>
                <w:p w14:paraId="175465FC" w14:textId="77777777" w:rsidR="00DF6DEC" w:rsidRDefault="00DF6DEC" w:rsidP="00DF6DEC">
                  <w:pPr>
                    <w:jc w:val="right"/>
                  </w:pPr>
                  <w:r>
                    <w:t>433</w:t>
                  </w:r>
                </w:p>
              </w:tc>
              <w:tc>
                <w:tcPr>
                  <w:tcW w:w="1828" w:type="dxa"/>
                </w:tcPr>
                <w:p w14:paraId="1BD93643" w14:textId="77777777" w:rsidR="00DF6DEC" w:rsidRDefault="00DF6DEC" w:rsidP="00DF6DEC">
                  <w:r>
                    <w:t>Year 10</w:t>
                  </w:r>
                </w:p>
              </w:tc>
              <w:tc>
                <w:tcPr>
                  <w:tcW w:w="783" w:type="dxa"/>
                </w:tcPr>
                <w:p w14:paraId="77036747" w14:textId="77777777" w:rsidR="00DF6DEC" w:rsidRDefault="00DF6DEC" w:rsidP="00DF6DEC">
                  <w:pPr>
                    <w:jc w:val="right"/>
                  </w:pPr>
                  <w:r>
                    <w:t>385</w:t>
                  </w:r>
                </w:p>
              </w:tc>
            </w:tr>
            <w:tr w:rsidR="00DF6DEC" w14:paraId="5B5D7EA8" w14:textId="77777777" w:rsidTr="00373095">
              <w:tc>
                <w:tcPr>
                  <w:tcW w:w="1685" w:type="dxa"/>
                </w:tcPr>
                <w:p w14:paraId="40453A51" w14:textId="77777777" w:rsidR="00DF6DEC" w:rsidRDefault="00DF6DEC" w:rsidP="00DF6DEC">
                  <w:r>
                    <w:t>Year 11</w:t>
                  </w:r>
                </w:p>
              </w:tc>
              <w:tc>
                <w:tcPr>
                  <w:tcW w:w="663" w:type="dxa"/>
                </w:tcPr>
                <w:p w14:paraId="3ADB1D94" w14:textId="77777777" w:rsidR="00DF6DEC" w:rsidRDefault="00DF6DEC" w:rsidP="00DF6DEC">
                  <w:pPr>
                    <w:jc w:val="right"/>
                  </w:pPr>
                  <w:r>
                    <w:t>274</w:t>
                  </w:r>
                </w:p>
              </w:tc>
              <w:tc>
                <w:tcPr>
                  <w:tcW w:w="1828" w:type="dxa"/>
                </w:tcPr>
                <w:p w14:paraId="030A7CAE" w14:textId="77777777" w:rsidR="00DF6DEC" w:rsidRDefault="00DF6DEC" w:rsidP="00DF6DEC">
                  <w:r>
                    <w:t>Year 12</w:t>
                  </w:r>
                </w:p>
              </w:tc>
              <w:tc>
                <w:tcPr>
                  <w:tcW w:w="783" w:type="dxa"/>
                </w:tcPr>
                <w:p w14:paraId="445DBE62" w14:textId="77777777" w:rsidR="00DF6DEC" w:rsidRDefault="00DF6DEC" w:rsidP="00DF6DEC">
                  <w:pPr>
                    <w:jc w:val="right"/>
                  </w:pPr>
                  <w:r>
                    <w:t>276</w:t>
                  </w:r>
                </w:p>
              </w:tc>
            </w:tr>
            <w:tr w:rsidR="00DF6DEC" w14:paraId="718677DB" w14:textId="77777777" w:rsidTr="00373095">
              <w:tc>
                <w:tcPr>
                  <w:tcW w:w="1685" w:type="dxa"/>
                </w:tcPr>
                <w:p w14:paraId="2CD0E7B2" w14:textId="77777777" w:rsidR="00DF6DEC" w:rsidRDefault="00DF6DEC" w:rsidP="00DF6DEC">
                  <w:r>
                    <w:t>TOTAL</w:t>
                  </w:r>
                </w:p>
              </w:tc>
              <w:tc>
                <w:tcPr>
                  <w:tcW w:w="663" w:type="dxa"/>
                </w:tcPr>
                <w:p w14:paraId="65556A62" w14:textId="77777777" w:rsidR="00DF6DEC" w:rsidRDefault="00DF6DEC" w:rsidP="00DF6DEC">
                  <w:pPr>
                    <w:jc w:val="right"/>
                  </w:pPr>
                  <w:r>
                    <w:t>2238</w:t>
                  </w:r>
                </w:p>
              </w:tc>
              <w:tc>
                <w:tcPr>
                  <w:tcW w:w="1828" w:type="dxa"/>
                </w:tcPr>
                <w:p w14:paraId="18DF1FD3" w14:textId="77777777" w:rsidR="00DF6DEC" w:rsidRDefault="00DF6DEC" w:rsidP="00DF6DEC">
                  <w:r>
                    <w:t>Students TBA</w:t>
                  </w:r>
                </w:p>
              </w:tc>
              <w:tc>
                <w:tcPr>
                  <w:tcW w:w="783" w:type="dxa"/>
                </w:tcPr>
                <w:p w14:paraId="42D49C8C" w14:textId="77777777" w:rsidR="00DF6DEC" w:rsidRDefault="00DF6DEC" w:rsidP="00DF6DEC">
                  <w:pPr>
                    <w:jc w:val="right"/>
                  </w:pPr>
                  <w:r>
                    <w:t>9</w:t>
                  </w:r>
                </w:p>
              </w:tc>
            </w:tr>
          </w:tbl>
          <w:p w14:paraId="03F6FD25" w14:textId="355A2825" w:rsidR="00DF6DEC" w:rsidRDefault="00DF6DEC" w:rsidP="00DF6DEC">
            <w:pPr>
              <w:spacing w:before="120" w:after="120"/>
            </w:pPr>
          </w:p>
          <w:p w14:paraId="5EC2D3A7" w14:textId="77777777" w:rsidR="00DF6DEC" w:rsidRDefault="00DF6DEC" w:rsidP="00DF6DEC">
            <w:pPr>
              <w:spacing w:before="120" w:after="120"/>
            </w:pPr>
          </w:p>
          <w:p w14:paraId="758BF151" w14:textId="77777777" w:rsidR="00DF6DEC" w:rsidRDefault="00DF6DEC" w:rsidP="00DF6DEC">
            <w:pPr>
              <w:spacing w:before="120" w:after="120"/>
            </w:pPr>
          </w:p>
          <w:p w14:paraId="174D6155" w14:textId="77777777" w:rsidR="00DF6DEC" w:rsidRDefault="00DF6DEC" w:rsidP="00DF6DEC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 xml:space="preserve">Student Carpark – </w:t>
            </w:r>
          </w:p>
          <w:p w14:paraId="201ED79B" w14:textId="723AE8BB" w:rsidR="00DF6DEC" w:rsidRDefault="00DF6DEC" w:rsidP="00DF6DEC">
            <w:pPr>
              <w:pStyle w:val="ListParagraph"/>
              <w:numPr>
                <w:ilvl w:val="1"/>
                <w:numId w:val="2"/>
              </w:numPr>
              <w:spacing w:before="120" w:after="120"/>
              <w:ind w:left="995" w:hanging="284"/>
            </w:pPr>
            <w:r>
              <w:t>Currently 30 students drive to school;</w:t>
            </w:r>
          </w:p>
          <w:p w14:paraId="16A82072" w14:textId="27726ABA" w:rsidR="00DF6DEC" w:rsidRDefault="007D3082" w:rsidP="00DF6DEC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>
              <w:t>Parents/</w:t>
            </w:r>
            <w:r w:rsidR="00DF6DEC">
              <w:t xml:space="preserve">Students have been informed that car bays no longer available at school. </w:t>
            </w:r>
            <w:proofErr w:type="spellStart"/>
            <w:r w:rsidR="00DF6DEC">
              <w:t>Its</w:t>
            </w:r>
            <w:proofErr w:type="spellEnd"/>
            <w:r w:rsidR="00DF6DEC">
              <w:t xml:space="preserve"> not the responsibility of school to provide student parking. </w:t>
            </w:r>
          </w:p>
          <w:p w14:paraId="4BD1ED8C" w14:textId="2C46E5D7" w:rsidR="00DF6DEC" w:rsidRDefault="00DF6DEC" w:rsidP="00DF6DEC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>
              <w:t>Approximately 18 complaints since announcement – all have been spoken to;</w:t>
            </w:r>
          </w:p>
          <w:p w14:paraId="2C5024B3" w14:textId="4203D8B9" w:rsidR="00DF6DEC" w:rsidRDefault="00DF6DEC" w:rsidP="00DF6DEC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>
              <w:t>Resident complaints of students parking, and behaviour is to be referred to the local Ranger.</w:t>
            </w:r>
          </w:p>
          <w:p w14:paraId="1A6C3A27" w14:textId="3F1E09B9" w:rsidR="00DF6DEC" w:rsidRDefault="00DF6DEC" w:rsidP="00DF6DEC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proofErr w:type="spellStart"/>
            <w:r>
              <w:t>Its</w:t>
            </w:r>
            <w:proofErr w:type="spellEnd"/>
            <w:r>
              <w:t xml:space="preserve"> believed the issues surrounding studen</w:t>
            </w:r>
            <w:r w:rsidR="007D3082">
              <w:t>t parking will dissipate within</w:t>
            </w:r>
            <w:r>
              <w:t xml:space="preserve"> 12 months.</w:t>
            </w:r>
          </w:p>
          <w:p w14:paraId="2A29A976" w14:textId="04026B30" w:rsidR="00DF6DEC" w:rsidRDefault="00DF6DEC" w:rsidP="00DF6DEC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 xml:space="preserve">School Drop Off Congestion – </w:t>
            </w:r>
          </w:p>
          <w:p w14:paraId="12DA996C" w14:textId="57E93792" w:rsidR="00DF6DEC" w:rsidRDefault="00DF6DEC" w:rsidP="00DF6DEC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>
              <w:t xml:space="preserve">Traffic in morning and afternoon on Osmaston and </w:t>
            </w:r>
            <w:proofErr w:type="spellStart"/>
            <w:r>
              <w:t>Everingham</w:t>
            </w:r>
            <w:proofErr w:type="spellEnd"/>
            <w:r>
              <w:t xml:space="preserve"> has increased significantly. It</w:t>
            </w:r>
            <w:r w:rsidR="007D3082">
              <w:t>’</w:t>
            </w:r>
            <w:r>
              <w:t>s recommended informat</w:t>
            </w:r>
            <w:r w:rsidR="007D3082">
              <w:t>ion to the year 7 and 8 parents/</w:t>
            </w:r>
            <w:r>
              <w:t>students to change the habit.</w:t>
            </w:r>
          </w:p>
          <w:p w14:paraId="3C93EF3A" w14:textId="4D1A38F0" w:rsidR="00DF6DEC" w:rsidRDefault="00DF6DEC" w:rsidP="00DF6DEC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New Building</w:t>
            </w:r>
          </w:p>
          <w:p w14:paraId="02073A90" w14:textId="3ACE684F" w:rsidR="00DF6DEC" w:rsidRDefault="00DF6DEC" w:rsidP="00DF6DEC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>
              <w:t>No significant update from PCG Meeting.</w:t>
            </w:r>
          </w:p>
          <w:p w14:paraId="13406206" w14:textId="3752A5F9" w:rsidR="00DF6DEC" w:rsidRDefault="00DF6DEC" w:rsidP="00DF6DEC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>
              <w:t>The cover of Tennis Courts will no longer be covered in new build due to cost increases of build. Cost es</w:t>
            </w:r>
            <w:r w:rsidR="007D3082">
              <w:t>timated to be 1.5M to 2.0M</w:t>
            </w:r>
            <w:r>
              <w:t>. Meeting to be held with the Director of Infrastructure to procure funding.</w:t>
            </w:r>
          </w:p>
          <w:p w14:paraId="74A88C3D" w14:textId="7F113F54" w:rsidR="00DF6DEC" w:rsidRDefault="00DF6DEC" w:rsidP="00DF6DEC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>
              <w:t>Build will start in September 2021.</w:t>
            </w:r>
          </w:p>
          <w:p w14:paraId="5397872A" w14:textId="40805CB2" w:rsidR="00DF6DEC" w:rsidRDefault="00DF6DEC" w:rsidP="00DF6DEC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>
              <w:t>Silica Street carpark will be used for storage of materials.</w:t>
            </w:r>
          </w:p>
          <w:p w14:paraId="1770E8D7" w14:textId="3F24B72D" w:rsidR="00DF6DEC" w:rsidRDefault="00DF6DEC" w:rsidP="00DF6DEC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School Board Positions and Elections</w:t>
            </w:r>
          </w:p>
          <w:p w14:paraId="3B809882" w14:textId="366243C7" w:rsidR="00DF6DEC" w:rsidRDefault="00DF6DEC" w:rsidP="00DF6DEC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>
              <w:t>Alison Winter resigned from board; Damian thanked her efforts.</w:t>
            </w:r>
          </w:p>
          <w:p w14:paraId="7E940938" w14:textId="72CEF38B" w:rsidR="00DF6DEC" w:rsidRDefault="00DF6DEC" w:rsidP="00DF6DEC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>
              <w:t>Noted that Alison Rasmussen resigned at end of last year.</w:t>
            </w:r>
          </w:p>
          <w:p w14:paraId="08621BED" w14:textId="7A915A6A" w:rsidR="00DF6DEC" w:rsidRDefault="00DF6DEC" w:rsidP="00DF6DEC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>
              <w:t xml:space="preserve">Noted that Philip Borger and Tina </w:t>
            </w:r>
            <w:proofErr w:type="spellStart"/>
            <w:r>
              <w:t>Magatelli</w:t>
            </w:r>
            <w:proofErr w:type="spellEnd"/>
            <w:r>
              <w:t xml:space="preserve"> are acting in a single role on the board and can only cast a single vote.</w:t>
            </w:r>
          </w:p>
          <w:p w14:paraId="354694DC" w14:textId="697BE855" w:rsidR="00DF6DEC" w:rsidRDefault="00DF6DEC" w:rsidP="00DF6DEC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>
              <w:t>John Hackett will require to be elected under the new Board Constitution.</w:t>
            </w:r>
          </w:p>
          <w:p w14:paraId="3CF5EEAD" w14:textId="012B59EE" w:rsidR="007D3082" w:rsidRDefault="00DF6DEC" w:rsidP="007D3082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>
              <w:lastRenderedPageBreak/>
              <w:t>Sean Somerville and Adrian Armstrong to confirm their appointment dates.</w:t>
            </w:r>
          </w:p>
          <w:p w14:paraId="3BDCBEE0" w14:textId="5336EAF0" w:rsidR="00DF6DEC" w:rsidRDefault="00DF6DEC" w:rsidP="00DF6DEC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>
              <w:t>A register of appointment dates of board members to be prepared for the next meeting confirm tenure.</w:t>
            </w:r>
          </w:p>
          <w:p w14:paraId="7CDFEB13" w14:textId="5F2BB10D" w:rsidR="00DF6DEC" w:rsidRDefault="00DF6DEC" w:rsidP="00DF6DEC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>
              <w:t xml:space="preserve">Circular Resolution will be sent to appoint Chair Tim Sercombe for another </w:t>
            </w:r>
            <w:proofErr w:type="gramStart"/>
            <w:r>
              <w:t>1 year</w:t>
            </w:r>
            <w:proofErr w:type="gramEnd"/>
            <w:r>
              <w:t xml:space="preserve"> term.</w:t>
            </w:r>
          </w:p>
          <w:p w14:paraId="426A8E73" w14:textId="7E35A191" w:rsidR="00DF6DEC" w:rsidRDefault="00DF6DEC" w:rsidP="00DF6DEC">
            <w:pPr>
              <w:pStyle w:val="ListParagraph"/>
              <w:numPr>
                <w:ilvl w:val="1"/>
                <w:numId w:val="2"/>
              </w:numPr>
              <w:spacing w:before="120" w:after="120"/>
            </w:pPr>
            <w:r>
              <w:t>Any shortfall in positions held will be determined and circulated, it is expected that Parent and Community board positions will require more numbers.</w:t>
            </w:r>
          </w:p>
        </w:tc>
      </w:tr>
      <w:tr w:rsidR="00DF6DEC" w14:paraId="3EB38B4F" w14:textId="77777777" w:rsidTr="00DF6DEC">
        <w:tc>
          <w:tcPr>
            <w:tcW w:w="2006" w:type="dxa"/>
          </w:tcPr>
          <w:p w14:paraId="2C56D91A" w14:textId="0CA2E3C8" w:rsidR="00DF6DEC" w:rsidRPr="00373095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FINANCE REPORT</w:t>
            </w:r>
          </w:p>
        </w:tc>
        <w:tc>
          <w:tcPr>
            <w:tcW w:w="9046" w:type="dxa"/>
          </w:tcPr>
          <w:p w14:paraId="49DF7E6C" w14:textId="77777777" w:rsidR="00DF6DEC" w:rsidRDefault="00DF6DEC" w:rsidP="00DF6DEC">
            <w:pPr>
              <w:spacing w:before="120" w:after="120"/>
            </w:pPr>
            <w:r>
              <w:t>None</w:t>
            </w:r>
          </w:p>
          <w:p w14:paraId="1AD37EC8" w14:textId="472A8064" w:rsidR="00DF6DEC" w:rsidRDefault="00DF6DEC" w:rsidP="00DF6DEC">
            <w:pPr>
              <w:spacing w:before="120" w:after="120"/>
            </w:pPr>
            <w:r>
              <w:t xml:space="preserve">It was requested that the finance report for December 2020 be circulated to Board and subsequently the February 2021 Reports upon finalisation. </w:t>
            </w:r>
          </w:p>
        </w:tc>
      </w:tr>
      <w:tr w:rsidR="00DF6DEC" w14:paraId="3F084A65" w14:textId="77777777" w:rsidTr="00DF6DEC">
        <w:tc>
          <w:tcPr>
            <w:tcW w:w="2006" w:type="dxa"/>
          </w:tcPr>
          <w:p w14:paraId="08F42893" w14:textId="4EA9A747" w:rsidR="00DF6DEC" w:rsidRPr="00373095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GOUNDS &amp; BUILDING REPORT</w:t>
            </w:r>
          </w:p>
        </w:tc>
        <w:tc>
          <w:tcPr>
            <w:tcW w:w="9046" w:type="dxa"/>
          </w:tcPr>
          <w:p w14:paraId="2877A927" w14:textId="418A785B" w:rsidR="00DF6DEC" w:rsidRDefault="00DF6DEC" w:rsidP="00DF6DEC">
            <w:pPr>
              <w:spacing w:before="120" w:after="120"/>
            </w:pPr>
            <w:r>
              <w:t>Damian thanked Tina for the work she did over the holidays with significant work done to many areas of the school including;</w:t>
            </w:r>
          </w:p>
          <w:p w14:paraId="11A1039B" w14:textId="221A3874" w:rsidR="00DF6DEC" w:rsidRDefault="00DF6DEC" w:rsidP="00DF6DEC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>Art rooms refurbishment.</w:t>
            </w:r>
          </w:p>
          <w:p w14:paraId="6913FAE4" w14:textId="2D1B4A75" w:rsidR="00DF6DEC" w:rsidRDefault="00DF6DEC" w:rsidP="00DF6DEC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>Uniform shop conversion to Canteen.</w:t>
            </w:r>
          </w:p>
          <w:p w14:paraId="3E8CF5C3" w14:textId="203D531C" w:rsidR="00DF6DEC" w:rsidRDefault="00DF6DEC" w:rsidP="00DF6DEC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>D&amp;T Auto Area refurbishment.</w:t>
            </w:r>
          </w:p>
          <w:p w14:paraId="40BD1A1F" w14:textId="77777777" w:rsidR="00DF6DEC" w:rsidRDefault="00DF6DEC" w:rsidP="00DF6DEC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>J1.5 new flooring/ceilings.</w:t>
            </w:r>
          </w:p>
          <w:p w14:paraId="31A000C3" w14:textId="77777777" w:rsidR="00DF6DEC" w:rsidRDefault="00DF6DEC" w:rsidP="00DF6DEC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>LED lighting throughout most parts of the school.</w:t>
            </w:r>
          </w:p>
          <w:p w14:paraId="624A0916" w14:textId="598510E2" w:rsidR="00DF6DEC" w:rsidRDefault="00DF6DEC" w:rsidP="00DF6DEC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>D Block shade sales</w:t>
            </w:r>
          </w:p>
          <w:p w14:paraId="0AAEFEE0" w14:textId="77777777" w:rsidR="00DF6DEC" w:rsidRDefault="00DF6DEC" w:rsidP="00DF6DEC">
            <w:pPr>
              <w:pStyle w:val="ListParagraph"/>
              <w:numPr>
                <w:ilvl w:val="0"/>
                <w:numId w:val="3"/>
              </w:numPr>
              <w:spacing w:before="120" w:after="120"/>
            </w:pPr>
            <w:r>
              <w:t xml:space="preserve">5 new </w:t>
            </w:r>
            <w:proofErr w:type="spellStart"/>
            <w:r>
              <w:t>Transportable’s</w:t>
            </w:r>
            <w:proofErr w:type="spellEnd"/>
            <w:r>
              <w:t xml:space="preserve"> furnished.</w:t>
            </w:r>
          </w:p>
          <w:p w14:paraId="3A216CAB" w14:textId="77777777" w:rsidR="00DF6DEC" w:rsidRDefault="00DF6DEC" w:rsidP="00DF6DEC">
            <w:pPr>
              <w:spacing w:before="120" w:after="120"/>
            </w:pPr>
            <w:r>
              <w:t>Tree Branch Incident</w:t>
            </w:r>
          </w:p>
          <w:p w14:paraId="335EFA18" w14:textId="77777777" w:rsidR="00DF6DEC" w:rsidRDefault="00DF6DEC" w:rsidP="00DF6DEC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End of last year Damian requested a complete review of all the grounds.</w:t>
            </w:r>
          </w:p>
          <w:p w14:paraId="1CD9E50B" w14:textId="0C2A5CB7" w:rsidR="00DF6DEC" w:rsidRDefault="00DF6DEC" w:rsidP="00DF6DEC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Contractors cleared the tree in question as safe. A second opinion from another arborist was requested – recommendation that tree be removed.</w:t>
            </w:r>
          </w:p>
          <w:p w14:paraId="50338E94" w14:textId="32D20986" w:rsidR="00DF6DEC" w:rsidRDefault="00DF6DEC" w:rsidP="00DF6DEC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Department will return to remove tree.</w:t>
            </w:r>
          </w:p>
          <w:p w14:paraId="2D18DFE4" w14:textId="77777777" w:rsidR="00DF6DEC" w:rsidRDefault="00DF6DEC" w:rsidP="00DF6DEC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 xml:space="preserve">Student has recovered from incident. </w:t>
            </w:r>
          </w:p>
          <w:p w14:paraId="19C53ED6" w14:textId="65504191" w:rsidR="00DF6DEC" w:rsidRDefault="00DF6DEC" w:rsidP="00DF6DEC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>
              <w:t>Department must give approval before any tree is removed on school grounds.</w:t>
            </w:r>
          </w:p>
        </w:tc>
      </w:tr>
      <w:tr w:rsidR="00DF6DEC" w14:paraId="681FCA38" w14:textId="77777777" w:rsidTr="00DF6DEC">
        <w:tc>
          <w:tcPr>
            <w:tcW w:w="2006" w:type="dxa"/>
          </w:tcPr>
          <w:p w14:paraId="6B286ADE" w14:textId="0CFDF97A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PREFECTS REPORT</w:t>
            </w:r>
          </w:p>
        </w:tc>
        <w:tc>
          <w:tcPr>
            <w:tcW w:w="9046" w:type="dxa"/>
          </w:tcPr>
          <w:p w14:paraId="0898C73B" w14:textId="173AF377" w:rsidR="00DF6DEC" w:rsidRDefault="00DF6DEC" w:rsidP="00DF6DEC">
            <w:pPr>
              <w:spacing w:before="120" w:after="120"/>
            </w:pPr>
            <w:r>
              <w:t>None</w:t>
            </w:r>
          </w:p>
        </w:tc>
      </w:tr>
      <w:tr w:rsidR="00DF6DEC" w14:paraId="4D271DBE" w14:textId="77777777" w:rsidTr="00DF6DEC">
        <w:tc>
          <w:tcPr>
            <w:tcW w:w="2006" w:type="dxa"/>
          </w:tcPr>
          <w:p w14:paraId="11BA9D1D" w14:textId="51BCF554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GENERAL BUSINESS</w:t>
            </w:r>
          </w:p>
        </w:tc>
        <w:tc>
          <w:tcPr>
            <w:tcW w:w="9046" w:type="dxa"/>
          </w:tcPr>
          <w:p w14:paraId="3F2A19A8" w14:textId="53403F14" w:rsidR="00DF6DEC" w:rsidRDefault="00DF6DEC" w:rsidP="00DF6DEC">
            <w:pPr>
              <w:spacing w:before="120" w:after="120"/>
            </w:pPr>
            <w:r>
              <w:t>None</w:t>
            </w:r>
          </w:p>
        </w:tc>
      </w:tr>
      <w:tr w:rsidR="00DF6DEC" w14:paraId="1FE45010" w14:textId="77777777" w:rsidTr="00DF6DEC">
        <w:tc>
          <w:tcPr>
            <w:tcW w:w="2006" w:type="dxa"/>
          </w:tcPr>
          <w:p w14:paraId="69A6E616" w14:textId="363D2BCB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MEETING CLOSED</w:t>
            </w:r>
          </w:p>
        </w:tc>
        <w:tc>
          <w:tcPr>
            <w:tcW w:w="9046" w:type="dxa"/>
          </w:tcPr>
          <w:p w14:paraId="42D5D1F4" w14:textId="7560BBF0" w:rsidR="00DF6DEC" w:rsidRDefault="00DF6DEC" w:rsidP="00DF6DEC">
            <w:pPr>
              <w:spacing w:before="120" w:after="120"/>
            </w:pPr>
            <w:r>
              <w:t>Meeting closed at 8:50am</w:t>
            </w:r>
          </w:p>
        </w:tc>
      </w:tr>
      <w:tr w:rsidR="00DF6DEC" w14:paraId="3F561C3B" w14:textId="77777777" w:rsidTr="00DF6DEC">
        <w:tc>
          <w:tcPr>
            <w:tcW w:w="2006" w:type="dxa"/>
          </w:tcPr>
          <w:p w14:paraId="10B007B8" w14:textId="6AE04913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NEXT MEETING</w:t>
            </w:r>
          </w:p>
        </w:tc>
        <w:tc>
          <w:tcPr>
            <w:tcW w:w="9046" w:type="dxa"/>
          </w:tcPr>
          <w:p w14:paraId="4C24EAF2" w14:textId="1DB70C90" w:rsidR="00DF6DEC" w:rsidRDefault="00DF6DEC" w:rsidP="00DF6DEC">
            <w:pPr>
              <w:spacing w:before="120" w:after="120"/>
            </w:pPr>
            <w:r>
              <w:t>Scheduled for 26</w:t>
            </w:r>
            <w:r w:rsidRPr="00C04380">
              <w:rPr>
                <w:vertAlign w:val="superscript"/>
              </w:rPr>
              <w:t>th</w:t>
            </w:r>
            <w:r>
              <w:t xml:space="preserve"> May 2021 at 8:00am</w:t>
            </w:r>
          </w:p>
        </w:tc>
      </w:tr>
      <w:tr w:rsidR="00DF6DEC" w14:paraId="751B41FE" w14:textId="77777777" w:rsidTr="00DF6DEC">
        <w:tc>
          <w:tcPr>
            <w:tcW w:w="2006" w:type="dxa"/>
          </w:tcPr>
          <w:p w14:paraId="46428505" w14:textId="130C153C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MINUTES SIGNED</w:t>
            </w:r>
          </w:p>
        </w:tc>
        <w:tc>
          <w:tcPr>
            <w:tcW w:w="9046" w:type="dxa"/>
          </w:tcPr>
          <w:p w14:paraId="20AAEE81" w14:textId="77777777" w:rsidR="00DF6DEC" w:rsidRDefault="00DF6DEC" w:rsidP="00DF6DEC">
            <w:pPr>
              <w:spacing w:before="120" w:after="120"/>
            </w:pPr>
          </w:p>
          <w:p w14:paraId="629AAA62" w14:textId="37966B9B" w:rsidR="00DF6DEC" w:rsidRDefault="00DF6DEC" w:rsidP="00DF6DEC">
            <w:pPr>
              <w:spacing w:before="120" w:after="120"/>
            </w:pPr>
            <w:r>
              <w:t>Chairperson___________________________      ___/___/___</w:t>
            </w:r>
          </w:p>
          <w:p w14:paraId="00738588" w14:textId="77777777" w:rsidR="00DF6DEC" w:rsidRDefault="00DF6DEC" w:rsidP="00DF6DEC">
            <w:pPr>
              <w:spacing w:before="120" w:after="120"/>
            </w:pPr>
          </w:p>
          <w:p w14:paraId="3C09F80E" w14:textId="77777777" w:rsidR="00DF6DEC" w:rsidRDefault="00DF6DEC" w:rsidP="00DF6DEC">
            <w:pPr>
              <w:spacing w:before="120" w:after="120"/>
            </w:pPr>
          </w:p>
          <w:p w14:paraId="2D4E109A" w14:textId="409F2CFB" w:rsidR="00DF6DEC" w:rsidRDefault="00DF6DEC" w:rsidP="00DF6DEC">
            <w:pPr>
              <w:spacing w:before="120" w:after="120"/>
            </w:pPr>
            <w:r>
              <w:t>Principal ______________________________   ___/___/___</w:t>
            </w:r>
          </w:p>
          <w:p w14:paraId="00F5E9E9" w14:textId="26DFAEF3" w:rsidR="00DF6DEC" w:rsidRDefault="00DF6DEC" w:rsidP="00DF6DEC">
            <w:pPr>
              <w:spacing w:before="120" w:after="120"/>
            </w:pPr>
          </w:p>
        </w:tc>
      </w:tr>
      <w:tr w:rsidR="00DF6DEC" w14:paraId="59401C0B" w14:textId="77777777" w:rsidTr="00DF6DEC">
        <w:tc>
          <w:tcPr>
            <w:tcW w:w="2006" w:type="dxa"/>
          </w:tcPr>
          <w:p w14:paraId="13F6E163" w14:textId="363494AD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2021 PROPOSED MEETING DATES</w:t>
            </w:r>
          </w:p>
        </w:tc>
        <w:tc>
          <w:tcPr>
            <w:tcW w:w="9046" w:type="dxa"/>
          </w:tcPr>
          <w:p w14:paraId="01313EBA" w14:textId="395EAB79" w:rsidR="00DF6DEC" w:rsidRDefault="00DF6DEC" w:rsidP="00DF6DEC">
            <w:pPr>
              <w:spacing w:before="120" w:after="120"/>
            </w:pPr>
            <w:r>
              <w:t>18</w:t>
            </w:r>
            <w:r w:rsidRPr="00DF6DEC">
              <w:rPr>
                <w:vertAlign w:val="superscript"/>
              </w:rPr>
              <w:t>th</w:t>
            </w:r>
            <w:r>
              <w:t xml:space="preserve"> August 2021 @ 8:00am 10</w:t>
            </w:r>
            <w:r w:rsidRPr="00DF6DEC">
              <w:rPr>
                <w:vertAlign w:val="superscript"/>
              </w:rPr>
              <w:t>th</w:t>
            </w:r>
            <w:r>
              <w:t xml:space="preserve"> November 2021 @ 8:00am </w:t>
            </w:r>
          </w:p>
        </w:tc>
      </w:tr>
    </w:tbl>
    <w:p w14:paraId="56F57667" w14:textId="77777777" w:rsidR="001F5B47" w:rsidRDefault="0060068D"/>
    <w:sectPr w:rsidR="001F5B47" w:rsidSect="00DF6DEC">
      <w:headerReference w:type="default" r:id="rId8"/>
      <w:footerReference w:type="default" r:id="rId9"/>
      <w:pgSz w:w="11906" w:h="16838"/>
      <w:pgMar w:top="1798" w:right="424" w:bottom="567" w:left="42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95EDA" w14:textId="77777777" w:rsidR="00076791" w:rsidRDefault="00076791" w:rsidP="00076791">
      <w:pPr>
        <w:spacing w:after="0" w:line="240" w:lineRule="auto"/>
      </w:pPr>
      <w:r>
        <w:separator/>
      </w:r>
    </w:p>
  </w:endnote>
  <w:endnote w:type="continuationSeparator" w:id="0">
    <w:p w14:paraId="20F06FD9" w14:textId="77777777" w:rsidR="00076791" w:rsidRDefault="00076791" w:rsidP="0007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3597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F99F48" w14:textId="1D432D3D" w:rsidR="00542855" w:rsidRDefault="005428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6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06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C6C61C" w14:textId="77777777" w:rsidR="00542855" w:rsidRDefault="00542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3B6B6" w14:textId="77777777" w:rsidR="00076791" w:rsidRDefault="00076791" w:rsidP="00076791">
      <w:pPr>
        <w:spacing w:after="0" w:line="240" w:lineRule="auto"/>
      </w:pPr>
      <w:r>
        <w:separator/>
      </w:r>
    </w:p>
  </w:footnote>
  <w:footnote w:type="continuationSeparator" w:id="0">
    <w:p w14:paraId="27120433" w14:textId="77777777" w:rsidR="00076791" w:rsidRDefault="00076791" w:rsidP="0007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4A690" w14:textId="66391F56" w:rsidR="00076791" w:rsidRPr="00373095" w:rsidRDefault="00373095" w:rsidP="00373095">
    <w:pPr>
      <w:pStyle w:val="Header"/>
      <w:jc w:val="center"/>
      <w:rPr>
        <w:b/>
        <w:bCs/>
        <w:sz w:val="24"/>
        <w:szCs w:val="24"/>
        <w:lang w:val="en-US"/>
      </w:rPr>
    </w:pPr>
    <w:r w:rsidRPr="00373095">
      <w:rPr>
        <w:b/>
        <w:bCs/>
        <w:noProof/>
        <w:sz w:val="24"/>
        <w:szCs w:val="24"/>
        <w:lang w:eastAsia="en-AU"/>
      </w:rPr>
      <w:drawing>
        <wp:anchor distT="0" distB="0" distL="114300" distR="114300" simplePos="0" relativeHeight="251658240" behindDoc="0" locked="0" layoutInCell="1" allowOverlap="1" wp14:anchorId="4344F25E" wp14:editId="387405ED">
          <wp:simplePos x="0" y="0"/>
          <wp:positionH relativeFrom="margin">
            <wp:align>left</wp:align>
          </wp:positionH>
          <wp:positionV relativeFrom="paragraph">
            <wp:posOffset>-156210</wp:posOffset>
          </wp:positionV>
          <wp:extent cx="752475" cy="752475"/>
          <wp:effectExtent l="0" t="0" r="9525" b="952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791" w:rsidRPr="00373095">
      <w:rPr>
        <w:b/>
        <w:bCs/>
        <w:sz w:val="24"/>
        <w:szCs w:val="24"/>
        <w:lang w:val="en-US"/>
      </w:rPr>
      <w:t>Carine Senior High School – School Board</w:t>
    </w:r>
  </w:p>
  <w:p w14:paraId="0B472997" w14:textId="1A9F241D" w:rsidR="00076791" w:rsidRPr="00373095" w:rsidRDefault="00076791" w:rsidP="00373095">
    <w:pPr>
      <w:pStyle w:val="Header"/>
      <w:jc w:val="center"/>
      <w:rPr>
        <w:b/>
        <w:bCs/>
        <w:sz w:val="24"/>
        <w:szCs w:val="24"/>
        <w:lang w:val="en-US"/>
      </w:rPr>
    </w:pPr>
    <w:r w:rsidRPr="00373095">
      <w:rPr>
        <w:b/>
        <w:bCs/>
        <w:sz w:val="24"/>
        <w:szCs w:val="24"/>
        <w:lang w:val="en-US"/>
      </w:rPr>
      <w:t>Minutes of Meeting</w:t>
    </w:r>
  </w:p>
  <w:p w14:paraId="6C1BAD47" w14:textId="32D0DFEE" w:rsidR="00076791" w:rsidRPr="00373095" w:rsidRDefault="00076791" w:rsidP="00373095">
    <w:pPr>
      <w:pStyle w:val="Header"/>
      <w:jc w:val="center"/>
      <w:rPr>
        <w:b/>
        <w:bCs/>
        <w:sz w:val="24"/>
        <w:szCs w:val="24"/>
        <w:lang w:val="en-US"/>
      </w:rPr>
    </w:pPr>
    <w:r w:rsidRPr="00373095">
      <w:rPr>
        <w:b/>
        <w:bCs/>
        <w:sz w:val="24"/>
        <w:szCs w:val="24"/>
        <w:lang w:val="en-US"/>
      </w:rPr>
      <w:t xml:space="preserve">Held on </w:t>
    </w:r>
    <w:r w:rsidR="00F0207B" w:rsidRPr="00373095">
      <w:rPr>
        <w:b/>
        <w:bCs/>
        <w:sz w:val="24"/>
        <w:szCs w:val="24"/>
        <w:lang w:val="en-US"/>
      </w:rPr>
      <w:t>10</w:t>
    </w:r>
    <w:r w:rsidR="00F0207B" w:rsidRPr="00373095">
      <w:rPr>
        <w:b/>
        <w:bCs/>
        <w:sz w:val="24"/>
        <w:szCs w:val="24"/>
        <w:vertAlign w:val="superscript"/>
        <w:lang w:val="en-US"/>
      </w:rPr>
      <w:t>th</w:t>
    </w:r>
    <w:r w:rsidR="00F0207B" w:rsidRPr="00373095">
      <w:rPr>
        <w:b/>
        <w:bCs/>
        <w:sz w:val="24"/>
        <w:szCs w:val="24"/>
        <w:lang w:val="en-US"/>
      </w:rPr>
      <w:t xml:space="preserve"> March 2021</w:t>
    </w:r>
  </w:p>
  <w:p w14:paraId="122B70D3" w14:textId="7F1A4368" w:rsidR="00F0207B" w:rsidRPr="00373095" w:rsidRDefault="00F0207B" w:rsidP="00373095">
    <w:pPr>
      <w:pStyle w:val="Header"/>
      <w:pBdr>
        <w:bottom w:val="single" w:sz="4" w:space="1" w:color="auto"/>
      </w:pBdr>
      <w:jc w:val="center"/>
      <w:rPr>
        <w:b/>
        <w:bCs/>
        <w:sz w:val="24"/>
        <w:szCs w:val="24"/>
        <w:lang w:val="en-US"/>
      </w:rPr>
    </w:pPr>
    <w:r w:rsidRPr="00373095">
      <w:rPr>
        <w:b/>
        <w:bCs/>
        <w:sz w:val="24"/>
        <w:szCs w:val="24"/>
        <w:lang w:val="en-US"/>
      </w:rPr>
      <w:t xml:space="preserve">At Carine Senior High School – 51 </w:t>
    </w:r>
    <w:proofErr w:type="spellStart"/>
    <w:r w:rsidRPr="00373095">
      <w:rPr>
        <w:b/>
        <w:bCs/>
        <w:sz w:val="24"/>
        <w:szCs w:val="24"/>
        <w:lang w:val="en-US"/>
      </w:rPr>
      <w:t>Everingham</w:t>
    </w:r>
    <w:proofErr w:type="spellEnd"/>
    <w:r w:rsidRPr="00373095">
      <w:rPr>
        <w:b/>
        <w:bCs/>
        <w:sz w:val="24"/>
        <w:szCs w:val="24"/>
        <w:lang w:val="en-US"/>
      </w:rPr>
      <w:t xml:space="preserve"> Street CARINE WA 6020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4E3D"/>
    <w:multiLevelType w:val="hybridMultilevel"/>
    <w:tmpl w:val="22AC63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C01B6"/>
    <w:multiLevelType w:val="hybridMultilevel"/>
    <w:tmpl w:val="2F8A28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45686"/>
    <w:multiLevelType w:val="hybridMultilevel"/>
    <w:tmpl w:val="3EA25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56EC8"/>
    <w:multiLevelType w:val="hybridMultilevel"/>
    <w:tmpl w:val="8C82E5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91"/>
    <w:rsid w:val="00076791"/>
    <w:rsid w:val="001073CB"/>
    <w:rsid w:val="00311750"/>
    <w:rsid w:val="00373095"/>
    <w:rsid w:val="003A0499"/>
    <w:rsid w:val="00542855"/>
    <w:rsid w:val="0060068D"/>
    <w:rsid w:val="007D3082"/>
    <w:rsid w:val="007E26B4"/>
    <w:rsid w:val="00865AB5"/>
    <w:rsid w:val="00956D04"/>
    <w:rsid w:val="009843A2"/>
    <w:rsid w:val="00A528A9"/>
    <w:rsid w:val="00B22DAA"/>
    <w:rsid w:val="00B61994"/>
    <w:rsid w:val="00BE2C54"/>
    <w:rsid w:val="00C04380"/>
    <w:rsid w:val="00DF6DEC"/>
    <w:rsid w:val="00F0207B"/>
    <w:rsid w:val="00F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5515C4"/>
  <w15:chartTrackingRefBased/>
  <w15:docId w15:val="{C9AE9720-A42E-4AAE-852A-C2A2E169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791"/>
  </w:style>
  <w:style w:type="paragraph" w:styleId="Footer">
    <w:name w:val="footer"/>
    <w:basedOn w:val="Normal"/>
    <w:link w:val="FooterChar"/>
    <w:uiPriority w:val="99"/>
    <w:unhideWhenUsed/>
    <w:rsid w:val="0007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791"/>
  </w:style>
  <w:style w:type="paragraph" w:styleId="ListParagraph">
    <w:name w:val="List Paragraph"/>
    <w:basedOn w:val="Normal"/>
    <w:uiPriority w:val="34"/>
    <w:qFormat/>
    <w:rsid w:val="0037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AFFE-5BCA-4615-A32D-81C2CC81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Somerville</dc:creator>
  <cp:keywords/>
  <dc:description/>
  <cp:lastModifiedBy>SHAW Marcia [Carine Senior High School]</cp:lastModifiedBy>
  <cp:revision>3</cp:revision>
  <dcterms:created xsi:type="dcterms:W3CDTF">2021-03-31T07:09:00Z</dcterms:created>
  <dcterms:modified xsi:type="dcterms:W3CDTF">2021-04-01T00:47:00Z</dcterms:modified>
</cp:coreProperties>
</file>